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3F3E88">
        <w:rPr>
          <w:bCs/>
          <w:noProof w:val="0"/>
          <w:sz w:val="24"/>
          <w:szCs w:val="24"/>
        </w:rPr>
        <w:t>6750</w:t>
      </w:r>
    </w:p>
    <w:p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109D6">
        <w:rPr>
          <w:rFonts w:cs="Arial"/>
          <w:b/>
          <w:bCs/>
          <w:sz w:val="24"/>
          <w:lang w:eastAsia="ja-JP"/>
        </w:rPr>
        <w:t>8.13.1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109D6">
        <w:rPr>
          <w:rFonts w:ascii="Arial" w:hAnsi="Arial" w:cs="Arial"/>
          <w:b/>
          <w:bCs/>
          <w:sz w:val="24"/>
        </w:rPr>
        <w:t>MBMS Session Reception for V2X</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09D6">
        <w:rPr>
          <w:rFonts w:ascii="Arial" w:hAnsi="Arial" w:cs="Arial"/>
          <w:b/>
          <w:bCs/>
          <w:sz w:val="24"/>
        </w:rPr>
        <w:t>LTE-V2X-Core</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Default="001109D6" w:rsidP="001E2EDA">
      <w:pPr>
        <w:jc w:val="both"/>
      </w:pPr>
      <w:r>
        <w:t xml:space="preserve">RAN3 sent LS on </w:t>
      </w:r>
      <w:r w:rsidRPr="001109D6">
        <w:t>Multiple TMGIs for support of small and variable MBMS areas</w:t>
      </w:r>
      <w:r w:rsidR="00876CBA">
        <w:t xml:space="preserve"> </w:t>
      </w:r>
      <w:r w:rsidR="00876CBA">
        <w:fldChar w:fldCharType="begin"/>
      </w:r>
      <w:r w:rsidR="00876CBA">
        <w:instrText xml:space="preserve"> REF _Ref462915897 \r \h </w:instrText>
      </w:r>
      <w:r w:rsidR="001E2EDA">
        <w:instrText xml:space="preserve"> \* MERGEFORMAT </w:instrText>
      </w:r>
      <w:r w:rsidR="00876CBA">
        <w:fldChar w:fldCharType="separate"/>
      </w:r>
      <w:r w:rsidR="00876CBA">
        <w:t>[1]</w:t>
      </w:r>
      <w:r w:rsidR="00876CBA">
        <w:fldChar w:fldCharType="end"/>
      </w:r>
      <w:r>
        <w:t xml:space="preserve"> in which RAN3 informed RAN2 about taking Option 2 and Option 4 for </w:t>
      </w:r>
      <w:r>
        <w:rPr>
          <w:lang w:eastAsia="ko-KR"/>
        </w:rPr>
        <w:t>the s</w:t>
      </w:r>
      <w:r w:rsidRPr="00590500">
        <w:rPr>
          <w:lang w:eastAsia="ko-KR"/>
        </w:rPr>
        <w:t>upport of small and variable areas in V2X</w:t>
      </w:r>
      <w:r w:rsidR="002C72F3">
        <w:rPr>
          <w:lang w:eastAsia="ko-KR"/>
        </w:rPr>
        <w:t xml:space="preserve"> </w:t>
      </w:r>
      <w:r w:rsidR="002C72F3">
        <w:rPr>
          <w:lang w:eastAsia="ko-KR"/>
        </w:rPr>
        <w:fldChar w:fldCharType="begin"/>
      </w:r>
      <w:r w:rsidR="002C72F3">
        <w:rPr>
          <w:lang w:eastAsia="ko-KR"/>
        </w:rPr>
        <w:instrText xml:space="preserve"> REF _Ref462922949 \r \h </w:instrText>
      </w:r>
      <w:r w:rsidR="001E2EDA">
        <w:rPr>
          <w:lang w:eastAsia="ko-KR"/>
        </w:rPr>
        <w:instrText xml:space="preserve"> \* MERGEFORMAT </w:instrText>
      </w:r>
      <w:r w:rsidR="002C72F3">
        <w:rPr>
          <w:lang w:eastAsia="ko-KR"/>
        </w:rPr>
      </w:r>
      <w:r w:rsidR="002C72F3">
        <w:rPr>
          <w:lang w:eastAsia="ko-KR"/>
        </w:rPr>
        <w:fldChar w:fldCharType="separate"/>
      </w:r>
      <w:r w:rsidR="002C72F3">
        <w:rPr>
          <w:lang w:eastAsia="ko-KR"/>
        </w:rPr>
        <w:t>[2]</w:t>
      </w:r>
      <w:r w:rsidR="002C72F3">
        <w:rPr>
          <w:lang w:eastAsia="ko-KR"/>
        </w:rPr>
        <w:fldChar w:fldCharType="end"/>
      </w:r>
      <w:r w:rsidR="00876CBA">
        <w:rPr>
          <w:lang w:eastAsia="ko-KR"/>
        </w:rPr>
        <w:t xml:space="preserve"> </w:t>
      </w:r>
      <w:r>
        <w:t xml:space="preserve"> as working assumption and requested a feedback on </w:t>
      </w:r>
      <w:r w:rsidR="00876CBA">
        <w:t>different implications on the UE due to the support for these options. The two options are discussed in this paper and a feedback to RAN3 is proposed.</w:t>
      </w:r>
    </w:p>
    <w:p w:rsidR="00CD4C7B" w:rsidRPr="006E13D1" w:rsidRDefault="00CD4C7B" w:rsidP="00CD4C7B">
      <w:pPr>
        <w:pStyle w:val="Heading1"/>
      </w:pPr>
      <w:r w:rsidRPr="006E13D1">
        <w:t>2</w:t>
      </w:r>
      <w:r w:rsidRPr="006E13D1">
        <w:tab/>
      </w:r>
      <w:r w:rsidR="001109D6">
        <w:t>Discussion</w:t>
      </w:r>
    </w:p>
    <w:p w:rsidR="00CD4C7B" w:rsidRDefault="00876CBA" w:rsidP="001E2EDA">
      <w:pPr>
        <w:jc w:val="both"/>
        <w:rPr>
          <w:lang w:eastAsia="ko-KR"/>
        </w:rPr>
      </w:pPr>
      <w:r>
        <w:t xml:space="preserve">Option 2 is a single TMGI solution for </w:t>
      </w:r>
      <w:r>
        <w:rPr>
          <w:lang w:eastAsia="ko-KR"/>
        </w:rPr>
        <w:t>s</w:t>
      </w:r>
      <w:r w:rsidRPr="00590500">
        <w:rPr>
          <w:lang w:eastAsia="ko-KR"/>
        </w:rPr>
        <w:t>upport of small and variable areas in V2X</w:t>
      </w:r>
      <w:r>
        <w:rPr>
          <w:lang w:eastAsia="ko-KR"/>
        </w:rPr>
        <w:t xml:space="preserve">. It assumes that small non-overlapping MBMS service areas are configured for V2X. </w:t>
      </w:r>
      <w:r w:rsidR="00187139">
        <w:rPr>
          <w:lang w:eastAsia="ko-KR"/>
        </w:rPr>
        <w:t>It is possible to use one TMGI in adjacent MBMS service areas to deliver different V2X content by using the existing concept of flows within MBMS session. Unless multiple levels of QoS and thus multiple MBMS bearers (i.e. MRB, SC-MRB) need to be supported, UE would be required to receive only one MBMS session</w:t>
      </w:r>
      <w:r w:rsidR="001117F8">
        <w:rPr>
          <w:lang w:eastAsia="ko-KR"/>
        </w:rPr>
        <w:t xml:space="preserve"> (i.e. either one MTCH or SC-MTCH)</w:t>
      </w:r>
      <w:r w:rsidR="00187139">
        <w:rPr>
          <w:lang w:eastAsia="ko-KR"/>
        </w:rPr>
        <w:t>. From this perspective, there are no additional implication on the UE to support Option 2.</w:t>
      </w:r>
    </w:p>
    <w:p w:rsidR="00187139" w:rsidRDefault="001117F8" w:rsidP="001E2EDA">
      <w:pPr>
        <w:jc w:val="both"/>
      </w:pPr>
      <w:r>
        <w:t xml:space="preserve">Option 4 is not an alternative to Option 2 but Option 4 addressed a scenario when it is beneficial for MBMS service areas (distribution areas of V2X message) to overlap, which cannot be supported by Option 2. </w:t>
      </w:r>
      <w:r w:rsidR="00AB3D2C">
        <w:t>For exa</w:t>
      </w:r>
      <w:bookmarkStart w:id="1" w:name="_GoBack"/>
      <w:bookmarkEnd w:id="1"/>
      <w:r w:rsidR="00AB3D2C">
        <w:t>mple, if MBMS service areas comprise more than one cell and V2X message should be distributed over a geographical area</w:t>
      </w:r>
      <w:r w:rsidR="005C1E8D">
        <w:t>,</w:t>
      </w:r>
      <w:r w:rsidR="00AB3D2C">
        <w:t xml:space="preserve"> which is partially covered by two MBMS service area</w:t>
      </w:r>
      <w:r w:rsidR="005C1E8D">
        <w:t>s,</w:t>
      </w:r>
      <w:r w:rsidR="00AB3D2C">
        <w:t xml:space="preserve"> then either the existing MBMS service areas should be split into even smaller MBMS service areas, i.e. comprising a single cell (Note: If SC-PTM is used, a larger MBMS service area with EGCI information is also an alternative.), or a new overlapping MBMS service area must be used. This is illustrated on the following figure where cells 1 and 2 belong to one MBMS service area and cells 3 and 4 belong to other MBMS service area. If there is a V2X data of which distribution area is covered by cells 2 and 3 then Option 4 proposes to use an overlapping MBMS service area comprising of cells 2 and 3.</w:t>
      </w:r>
      <w:r w:rsidR="00E20C24">
        <w:t xml:space="preserve"> An alternative is to split the two MBMS service areas into four MBMS service areas, which are not overlapping, and then the usage of the same TMGI is possible</w:t>
      </w:r>
      <w:r w:rsidR="005C1E8D">
        <w:t xml:space="preserve"> as per Option 2</w:t>
      </w:r>
      <w:r w:rsidR="00E20C24">
        <w:t>.</w:t>
      </w:r>
    </w:p>
    <w:p w:rsidR="00AB3D2C" w:rsidRDefault="001117F8" w:rsidP="00AB3D2C">
      <w:pPr>
        <w:keepNext/>
        <w:jc w:val="center"/>
      </w:pPr>
      <w:r w:rsidRPr="001117F8">
        <w:rPr>
          <w:noProof/>
          <w:lang w:val="en-US"/>
        </w:rPr>
        <w:lastRenderedPageBreak/>
        <w:drawing>
          <wp:inline distT="0" distB="0" distL="0" distR="0" wp14:anchorId="40042C1C" wp14:editId="7B1D144C">
            <wp:extent cx="2628900" cy="2533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28900" cy="2533650"/>
                    </a:xfrm>
                    <a:prstGeom prst="rect">
                      <a:avLst/>
                    </a:prstGeom>
                  </pic:spPr>
                </pic:pic>
              </a:graphicData>
            </a:graphic>
          </wp:inline>
        </w:drawing>
      </w:r>
    </w:p>
    <w:p w:rsidR="001117F8" w:rsidRDefault="00AB3D2C" w:rsidP="00AB3D2C">
      <w:pPr>
        <w:pStyle w:val="Caption"/>
        <w:jc w:val="center"/>
      </w:pPr>
      <w:r>
        <w:t xml:space="preserve">Figure </w:t>
      </w:r>
      <w:fldSimple w:instr=" SEQ Figure \* ARABIC ">
        <w:r>
          <w:rPr>
            <w:noProof/>
          </w:rPr>
          <w:t>1</w:t>
        </w:r>
      </w:fldSimple>
      <w:r>
        <w:t>- MBMS service area configuration</w:t>
      </w:r>
    </w:p>
    <w:p w:rsidR="00AB3D2C" w:rsidRDefault="000811DB" w:rsidP="001E2EDA">
      <w:pPr>
        <w:jc w:val="both"/>
      </w:pPr>
      <w:r>
        <w:t>With Option 4, UE must receive multiple MBMS sessions in order to receive all V2X messages in a given area. Currently, there is no such requirements on the UE operation in the specification. A note in stage 2 states that clearly.</w:t>
      </w:r>
    </w:p>
    <w:p w:rsidR="000811DB" w:rsidRDefault="000811DB" w:rsidP="000811DB">
      <w:r>
        <w:t xml:space="preserve">36.300 </w:t>
      </w:r>
      <w:r w:rsidR="00E20C24">
        <w:fldChar w:fldCharType="begin"/>
      </w:r>
      <w:r w:rsidR="00E20C24">
        <w:instrText xml:space="preserve"> REF _Ref462919529 \r \h </w:instrText>
      </w:r>
      <w:r w:rsidR="00E20C24">
        <w:fldChar w:fldCharType="separate"/>
      </w:r>
      <w:r w:rsidR="00E20C24">
        <w:t>[3]</w:t>
      </w:r>
      <w:r w:rsidR="00E20C24">
        <w:fldChar w:fldCharType="end"/>
      </w:r>
      <w:r w:rsidR="00E20C24">
        <w:t xml:space="preserve"> states</w:t>
      </w:r>
      <w:r>
        <w:t>:</w:t>
      </w:r>
    </w:p>
    <w:tbl>
      <w:tblPr>
        <w:tblStyle w:val="TableGrid"/>
        <w:tblW w:w="0" w:type="auto"/>
        <w:tblLook w:val="04A0" w:firstRow="1" w:lastRow="0" w:firstColumn="1" w:lastColumn="0" w:noHBand="0" w:noVBand="1"/>
      </w:tblPr>
      <w:tblGrid>
        <w:gridCol w:w="9631"/>
      </w:tblGrid>
      <w:tr w:rsidR="000811DB" w:rsidTr="000811DB">
        <w:tc>
          <w:tcPr>
            <w:tcW w:w="9631" w:type="dxa"/>
            <w:shd w:val="clear" w:color="auto" w:fill="FFFFFF" w:themeFill="background1"/>
          </w:tcPr>
          <w:p w:rsidR="000811DB" w:rsidRPr="000811DB" w:rsidRDefault="000811DB" w:rsidP="000811DB">
            <w:pPr>
              <w:keepLines/>
              <w:ind w:left="1135" w:hanging="851"/>
              <w:rPr>
                <w:rFonts w:eastAsia="MS Mincho"/>
              </w:rPr>
            </w:pPr>
            <w:r w:rsidRPr="000811DB">
              <w:rPr>
                <w:rFonts w:eastAsia="MS Mincho"/>
              </w:rPr>
              <w:t>NOTE:</w:t>
            </w:r>
            <w:r w:rsidRPr="000811DB">
              <w:rPr>
                <w:rFonts w:eastAsia="MS Mincho"/>
              </w:rPr>
              <w:tab/>
              <w:t>The UE is not required to receive services from more than one MBSFN Area simultaneously and may support only a limited number of MTCHs.</w:t>
            </w:r>
          </w:p>
        </w:tc>
      </w:tr>
    </w:tbl>
    <w:p w:rsidR="000811DB" w:rsidRDefault="000811DB" w:rsidP="000811DB"/>
    <w:p w:rsidR="001117F8" w:rsidRDefault="001E2EDA" w:rsidP="001E2EDA">
      <w:pPr>
        <w:jc w:val="both"/>
      </w:pPr>
      <w:r>
        <w:t>The specifications also do</w:t>
      </w:r>
      <w:r w:rsidR="00E20C24">
        <w:t xml:space="preserve"> not impose any minimum requirement on the number of SC-MTCH</w:t>
      </w:r>
      <w:r w:rsidR="005C1E8D">
        <w:t>s</w:t>
      </w:r>
      <w:r w:rsidR="00E20C24">
        <w:t xml:space="preserve"> UE shall be able to receive concurrently. </w:t>
      </w:r>
      <w:r w:rsidR="005C4351">
        <w:t xml:space="preserve">In fact, the UE may not be even capable of receiving MBMS service over SC-PTM and unicast </w:t>
      </w:r>
      <w:r w:rsidR="005C1E8D">
        <w:t>in parallel</w:t>
      </w:r>
      <w:r w:rsidR="005C4351">
        <w:t>.</w:t>
      </w:r>
      <w:r w:rsidR="0071709F">
        <w:t xml:space="preserve"> UE signals its support of parallel reception of DL-SCH transport blocks in the same subframe to the network in </w:t>
      </w:r>
      <w:r w:rsidR="0071709F" w:rsidRPr="0071709F">
        <w:rPr>
          <w:i/>
        </w:rPr>
        <w:t>scptm-ParallelReception-r13</w:t>
      </w:r>
      <w:r w:rsidR="0071709F">
        <w:t xml:space="preserve"> parameter. However, the network does not know how many blocks UE can receive in parallel</w:t>
      </w:r>
      <w:r w:rsidR="005C1E8D">
        <w:t xml:space="preserve"> if the UE signals the support of the parallel reception</w:t>
      </w:r>
      <w:r w:rsidR="0071709F">
        <w:t>.</w:t>
      </w:r>
    </w:p>
    <w:p w:rsidR="005C4351" w:rsidRDefault="005C4351" w:rsidP="001B49C9">
      <w:r>
        <w:t xml:space="preserve">36.331 </w:t>
      </w:r>
      <w:r>
        <w:fldChar w:fldCharType="begin"/>
      </w:r>
      <w:r>
        <w:instrText xml:space="preserve"> REF _Ref462920936 \r \h </w:instrText>
      </w:r>
      <w:r>
        <w:fldChar w:fldCharType="separate"/>
      </w:r>
      <w:r>
        <w:t>[4]</w:t>
      </w:r>
      <w:r>
        <w:fldChar w:fldCharType="end"/>
      </w:r>
      <w:r>
        <w:t xml:space="preserve"> states:</w:t>
      </w:r>
    </w:p>
    <w:tbl>
      <w:tblPr>
        <w:tblStyle w:val="TableGrid"/>
        <w:tblW w:w="0" w:type="auto"/>
        <w:tblLook w:val="04A0" w:firstRow="1" w:lastRow="0" w:firstColumn="1" w:lastColumn="0" w:noHBand="0" w:noVBand="1"/>
      </w:tblPr>
      <w:tblGrid>
        <w:gridCol w:w="9631"/>
      </w:tblGrid>
      <w:tr w:rsidR="005C4351" w:rsidTr="005C4351">
        <w:tc>
          <w:tcPr>
            <w:tcW w:w="9631" w:type="dxa"/>
          </w:tcPr>
          <w:p w:rsidR="005C4351" w:rsidRDefault="005C4351" w:rsidP="005C4351">
            <w:pPr>
              <w:keepLines/>
              <w:ind w:left="1135" w:hanging="851"/>
              <w:rPr>
                <w:lang w:eastAsia="x-none"/>
              </w:rPr>
            </w:pPr>
            <w:r w:rsidRPr="005C4351">
              <w:rPr>
                <w:lang w:eastAsia="x-none"/>
              </w:rPr>
              <w:t>NOTE:</w:t>
            </w:r>
            <w:r w:rsidRPr="005C4351">
              <w:rPr>
                <w:lang w:eastAsia="x-none"/>
              </w:rPr>
              <w:tab/>
              <w:t>In case the UE is unable to receive an MBMS service via an SC-MRB due to capability limitations, upper layers may take appropriate action e.g. terminate a lower priority unicast service.</w:t>
            </w:r>
          </w:p>
        </w:tc>
      </w:tr>
    </w:tbl>
    <w:p w:rsidR="005C4351" w:rsidRDefault="005C4351" w:rsidP="001B49C9"/>
    <w:p w:rsidR="00CD4C7B" w:rsidRDefault="00CD4C7B" w:rsidP="001109D6">
      <w:pPr>
        <w:pStyle w:val="Heading1"/>
      </w:pPr>
      <w:r w:rsidRPr="006E13D1">
        <w:t>3</w:t>
      </w:r>
      <w:r w:rsidRPr="006E13D1">
        <w:tab/>
      </w:r>
      <w:r w:rsidR="001109D6">
        <w:t>Conclusion</w:t>
      </w:r>
    </w:p>
    <w:p w:rsidR="009B49A7" w:rsidRDefault="009B49A7" w:rsidP="009B49A7">
      <w:r>
        <w:t>The standard allows for a wide variety of MBMS implementation</w:t>
      </w:r>
      <w:r w:rsidR="007477DA">
        <w:t>s</w:t>
      </w:r>
      <w:r>
        <w:t xml:space="preserve">, may or may not support reception of multiple MBMS services in parallel or reception of MBMS and unicast services in parallel. It is not arguable that reception of multiple MBMS services </w:t>
      </w:r>
      <w:r w:rsidR="002C72F3">
        <w:t>can mean</w:t>
      </w:r>
      <w:r>
        <w:t xml:space="preserve"> higher </w:t>
      </w:r>
      <w:r w:rsidR="002C72F3">
        <w:t>implementation effort</w:t>
      </w:r>
      <w:r>
        <w:t xml:space="preserve"> on </w:t>
      </w:r>
      <w:r w:rsidR="002C72F3">
        <w:t xml:space="preserve">the </w:t>
      </w:r>
      <w:r>
        <w:t xml:space="preserve">UE </w:t>
      </w:r>
      <w:r w:rsidR="002C72F3">
        <w:t>side</w:t>
      </w:r>
      <w:r>
        <w:t>. However, this is purely an UE implementatio</w:t>
      </w:r>
      <w:r w:rsidR="007477DA">
        <w:t>n issue, which does not require</w:t>
      </w:r>
      <w:r>
        <w:t xml:space="preserve"> any changes to the specifications, unless there is a desire to introduce a minimum requirements regarding MBMS reception specific for V2X UEs. </w:t>
      </w:r>
    </w:p>
    <w:p w:rsidR="002C72F3" w:rsidRPr="002C72F3" w:rsidRDefault="009B49A7" w:rsidP="009B49A7">
      <w:pPr>
        <w:rPr>
          <w:b/>
        </w:rPr>
      </w:pPr>
      <w:r w:rsidRPr="002C72F3">
        <w:rPr>
          <w:b/>
        </w:rPr>
        <w:t xml:space="preserve">Proposal: </w:t>
      </w:r>
      <w:r w:rsidR="002C72F3" w:rsidRPr="002C72F3">
        <w:rPr>
          <w:b/>
        </w:rPr>
        <w:t xml:space="preserve">We propose to agree that reception of multiple MBMS services is an UE implementation issue also for V2X services </w:t>
      </w:r>
      <w:r w:rsidR="002C72F3">
        <w:rPr>
          <w:b/>
        </w:rPr>
        <w:t xml:space="preserve">as it was in the past </w:t>
      </w:r>
      <w:r w:rsidR="002C72F3" w:rsidRPr="002C72F3">
        <w:rPr>
          <w:b/>
        </w:rPr>
        <w:t>and no minimum requirement</w:t>
      </w:r>
      <w:r w:rsidR="007477DA">
        <w:rPr>
          <w:b/>
        </w:rPr>
        <w:t>s</w:t>
      </w:r>
      <w:r w:rsidR="002C72F3" w:rsidRPr="002C72F3">
        <w:rPr>
          <w:b/>
        </w:rPr>
        <w:t xml:space="preserve"> regarding MBMS reception are introduced to the standard. Furthermo</w:t>
      </w:r>
      <w:r w:rsidR="007477DA">
        <w:rPr>
          <w:b/>
        </w:rPr>
        <w:t>re, we propose to inform</w:t>
      </w:r>
      <w:r w:rsidR="002C72F3" w:rsidRPr="002C72F3">
        <w:rPr>
          <w:b/>
        </w:rPr>
        <w:t xml:space="preserve"> RAN3 in a reply LS that the reception of multiple MBMS service</w:t>
      </w:r>
      <w:r w:rsidR="002C72F3">
        <w:rPr>
          <w:b/>
        </w:rPr>
        <w:t>s</w:t>
      </w:r>
      <w:r w:rsidR="002C72F3" w:rsidRPr="002C72F3">
        <w:rPr>
          <w:b/>
        </w:rPr>
        <w:t xml:space="preserve"> may mean higher implementation effort for UE but RAN2 does not see a need to introduce any minimum requirements regarding MBMS reception for V2X UEs.</w:t>
      </w:r>
    </w:p>
    <w:p w:rsidR="001109D6" w:rsidRPr="001109D6" w:rsidRDefault="001109D6" w:rsidP="001109D6"/>
    <w:p w:rsidR="00CD4C7B" w:rsidRPr="006E13D1" w:rsidRDefault="00CD4C7B" w:rsidP="00CD4C7B">
      <w:pPr>
        <w:pStyle w:val="Heading1"/>
      </w:pPr>
      <w:r w:rsidRPr="006E13D1">
        <w:lastRenderedPageBreak/>
        <w:t>References</w:t>
      </w:r>
    </w:p>
    <w:p w:rsidR="00CD4C7B" w:rsidRPr="006E13D1" w:rsidRDefault="00876CBA" w:rsidP="00876CBA">
      <w:pPr>
        <w:numPr>
          <w:ilvl w:val="0"/>
          <w:numId w:val="4"/>
        </w:numPr>
        <w:overflowPunct w:val="0"/>
        <w:autoSpaceDE w:val="0"/>
        <w:autoSpaceDN w:val="0"/>
        <w:adjustRightInd w:val="0"/>
        <w:textAlignment w:val="baseline"/>
      </w:pPr>
      <w:bookmarkStart w:id="2" w:name="_Ref462915897"/>
      <w:bookmarkStart w:id="3" w:name="_Ref75086397"/>
      <w:r w:rsidRPr="00876CBA">
        <w:t>R3-162067</w:t>
      </w:r>
      <w:r>
        <w:t xml:space="preserve">, LS </w:t>
      </w:r>
      <w:r w:rsidRPr="00876CBA">
        <w:t>on Multiple TMGIs for support of small and variable MBMS areas</w:t>
      </w:r>
      <w:r>
        <w:t>, Source: RAN WG3</w:t>
      </w:r>
      <w:bookmarkEnd w:id="2"/>
      <w:r>
        <w:t xml:space="preserve"> </w:t>
      </w:r>
    </w:p>
    <w:p w:rsidR="00876CBA" w:rsidRPr="000811DB" w:rsidRDefault="00876CBA" w:rsidP="00876CBA">
      <w:pPr>
        <w:numPr>
          <w:ilvl w:val="0"/>
          <w:numId w:val="4"/>
        </w:numPr>
        <w:overflowPunct w:val="0"/>
        <w:autoSpaceDE w:val="0"/>
        <w:autoSpaceDN w:val="0"/>
        <w:adjustRightInd w:val="0"/>
        <w:textAlignment w:val="baseline"/>
      </w:pPr>
      <w:bookmarkStart w:id="4" w:name="_Ref462922949"/>
      <w:r>
        <w:t xml:space="preserve">3GPP TR </w:t>
      </w:r>
      <w:r w:rsidRPr="00876CBA">
        <w:t>36.885</w:t>
      </w:r>
      <w:r>
        <w:t xml:space="preserve"> V</w:t>
      </w:r>
      <w:r>
        <w:rPr>
          <w:rFonts w:eastAsia="Malgun Gothic"/>
          <w:lang w:eastAsia="ko-KR"/>
        </w:rPr>
        <w:t>14</w:t>
      </w:r>
      <w:r>
        <w:t>.</w:t>
      </w:r>
      <w:r w:rsidRPr="001127E3">
        <w:rPr>
          <w:rFonts w:eastAsia="Malgun Gothic" w:hint="eastAsia"/>
          <w:lang w:eastAsia="ko-KR"/>
        </w:rPr>
        <w:t>0</w:t>
      </w:r>
      <w:r>
        <w:t>.</w:t>
      </w:r>
      <w:r>
        <w:rPr>
          <w:rFonts w:eastAsia="Malgun Gothic" w:hint="eastAsia"/>
          <w:lang w:eastAsia="ko-KR"/>
        </w:rPr>
        <w:t>0</w:t>
      </w:r>
      <w:r>
        <w:t xml:space="preserve">, </w:t>
      </w:r>
      <w:r>
        <w:rPr>
          <w:rFonts w:eastAsia="MS Mincho"/>
        </w:rPr>
        <w:t xml:space="preserve">Study on </w:t>
      </w:r>
      <w:r>
        <w:rPr>
          <w:rFonts w:eastAsia="Malgun Gothic" w:hint="eastAsia"/>
          <w:lang w:eastAsia="ko-KR"/>
        </w:rPr>
        <w:t>LTE-based V2X Services</w:t>
      </w:r>
      <w:bookmarkEnd w:id="4"/>
    </w:p>
    <w:p w:rsidR="000811DB" w:rsidRDefault="000811DB" w:rsidP="006F6BDB">
      <w:pPr>
        <w:numPr>
          <w:ilvl w:val="0"/>
          <w:numId w:val="4"/>
        </w:numPr>
        <w:overflowPunct w:val="0"/>
        <w:autoSpaceDE w:val="0"/>
        <w:autoSpaceDN w:val="0"/>
        <w:adjustRightInd w:val="0"/>
        <w:textAlignment w:val="baseline"/>
      </w:pPr>
      <w:bookmarkStart w:id="5" w:name="_Ref462919529"/>
      <w:r w:rsidRPr="00E20C24">
        <w:rPr>
          <w:rFonts w:eastAsia="Malgun Gothic"/>
          <w:lang w:eastAsia="ko-KR"/>
        </w:rPr>
        <w:t xml:space="preserve">3GPP TS 36.300 </w:t>
      </w:r>
      <w:r w:rsidRPr="005132EF">
        <w:t>V1</w:t>
      </w:r>
      <w:r>
        <w:t>3</w:t>
      </w:r>
      <w:r w:rsidRPr="005132EF">
        <w:t>.</w:t>
      </w:r>
      <w:r>
        <w:t>4</w:t>
      </w:r>
      <w:r w:rsidRPr="005132EF">
        <w:t>.0</w:t>
      </w:r>
      <w:r>
        <w:t xml:space="preserve">, </w:t>
      </w:r>
      <w:r w:rsidR="00E20C24">
        <w:t>Evolved Universal Terrestrial Radio Access (E-UTRA) and Evolved Universal Terrestrial Radio Access Network (E-UTRAN); Overall description</w:t>
      </w:r>
      <w:bookmarkEnd w:id="5"/>
    </w:p>
    <w:p w:rsidR="005C4351" w:rsidRDefault="005C4351" w:rsidP="009028B5">
      <w:pPr>
        <w:numPr>
          <w:ilvl w:val="0"/>
          <w:numId w:val="4"/>
        </w:numPr>
        <w:overflowPunct w:val="0"/>
        <w:autoSpaceDE w:val="0"/>
        <w:autoSpaceDN w:val="0"/>
        <w:adjustRightInd w:val="0"/>
        <w:textAlignment w:val="baseline"/>
      </w:pPr>
      <w:bookmarkStart w:id="6" w:name="_Ref462920936"/>
      <w:r>
        <w:t>3GPP TS 36.331 V13.2.0, Evolved Universal Terrestrial Radio Access (E-UTRA); Radio Resource Control (RRC); Protocol specification</w:t>
      </w:r>
      <w:bookmarkEnd w:id="6"/>
    </w:p>
    <w:bookmarkEnd w:id="3"/>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97F" w:rsidRDefault="0041697F">
      <w:r>
        <w:separator/>
      </w:r>
    </w:p>
  </w:endnote>
  <w:endnote w:type="continuationSeparator" w:id="0">
    <w:p w:rsidR="0041697F" w:rsidRDefault="0041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97F" w:rsidRDefault="0041697F">
      <w:r>
        <w:separator/>
      </w:r>
    </w:p>
  </w:footnote>
  <w:footnote w:type="continuationSeparator" w:id="0">
    <w:p w:rsidR="0041697F" w:rsidRDefault="004169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739D"/>
    <w:rsid w:val="00080512"/>
    <w:rsid w:val="000811DB"/>
    <w:rsid w:val="00090468"/>
    <w:rsid w:val="000B7BCF"/>
    <w:rsid w:val="000C522B"/>
    <w:rsid w:val="000D58AB"/>
    <w:rsid w:val="001109D6"/>
    <w:rsid w:val="001117F8"/>
    <w:rsid w:val="001741A0"/>
    <w:rsid w:val="00187139"/>
    <w:rsid w:val="00194CD0"/>
    <w:rsid w:val="001B3649"/>
    <w:rsid w:val="001B49C9"/>
    <w:rsid w:val="001E2EDA"/>
    <w:rsid w:val="001F168B"/>
    <w:rsid w:val="001F7831"/>
    <w:rsid w:val="00204045"/>
    <w:rsid w:val="0022606D"/>
    <w:rsid w:val="002747EC"/>
    <w:rsid w:val="002855BF"/>
    <w:rsid w:val="002C72F3"/>
    <w:rsid w:val="002F0D22"/>
    <w:rsid w:val="003172DC"/>
    <w:rsid w:val="00326069"/>
    <w:rsid w:val="0035462D"/>
    <w:rsid w:val="003B40AD"/>
    <w:rsid w:val="003C4E37"/>
    <w:rsid w:val="003E16BE"/>
    <w:rsid w:val="003F3E88"/>
    <w:rsid w:val="00401855"/>
    <w:rsid w:val="0041697F"/>
    <w:rsid w:val="00477455"/>
    <w:rsid w:val="004D3578"/>
    <w:rsid w:val="004D380D"/>
    <w:rsid w:val="004E213A"/>
    <w:rsid w:val="00503171"/>
    <w:rsid w:val="00534DA0"/>
    <w:rsid w:val="00543E6C"/>
    <w:rsid w:val="00565087"/>
    <w:rsid w:val="0056573F"/>
    <w:rsid w:val="005753B6"/>
    <w:rsid w:val="005C1E8D"/>
    <w:rsid w:val="005C4351"/>
    <w:rsid w:val="00611566"/>
    <w:rsid w:val="00646D99"/>
    <w:rsid w:val="00656910"/>
    <w:rsid w:val="00680998"/>
    <w:rsid w:val="006C66D8"/>
    <w:rsid w:val="006D1E24"/>
    <w:rsid w:val="006E1417"/>
    <w:rsid w:val="006F6A2C"/>
    <w:rsid w:val="0071709F"/>
    <w:rsid w:val="00734A5B"/>
    <w:rsid w:val="00744E76"/>
    <w:rsid w:val="007477DA"/>
    <w:rsid w:val="00757D40"/>
    <w:rsid w:val="00781F0F"/>
    <w:rsid w:val="0078727C"/>
    <w:rsid w:val="0079049D"/>
    <w:rsid w:val="007B18D8"/>
    <w:rsid w:val="007C095F"/>
    <w:rsid w:val="008028A4"/>
    <w:rsid w:val="008376E0"/>
    <w:rsid w:val="008768CA"/>
    <w:rsid w:val="00876CBA"/>
    <w:rsid w:val="00880559"/>
    <w:rsid w:val="0090271F"/>
    <w:rsid w:val="00942EC2"/>
    <w:rsid w:val="00961B32"/>
    <w:rsid w:val="00974BB0"/>
    <w:rsid w:val="009B07CD"/>
    <w:rsid w:val="009B49A7"/>
    <w:rsid w:val="009C19E9"/>
    <w:rsid w:val="00A10F02"/>
    <w:rsid w:val="00A53724"/>
    <w:rsid w:val="00A82346"/>
    <w:rsid w:val="00A9671C"/>
    <w:rsid w:val="00AB3D2C"/>
    <w:rsid w:val="00B15449"/>
    <w:rsid w:val="00B47FD1"/>
    <w:rsid w:val="00C12B51"/>
    <w:rsid w:val="00C24650"/>
    <w:rsid w:val="00C33079"/>
    <w:rsid w:val="00C83A13"/>
    <w:rsid w:val="00C95DA3"/>
    <w:rsid w:val="00CA3D0C"/>
    <w:rsid w:val="00CA654B"/>
    <w:rsid w:val="00CD4C7B"/>
    <w:rsid w:val="00D738D6"/>
    <w:rsid w:val="00D80795"/>
    <w:rsid w:val="00D87E00"/>
    <w:rsid w:val="00D9134D"/>
    <w:rsid w:val="00D96D11"/>
    <w:rsid w:val="00DA7A03"/>
    <w:rsid w:val="00DB1818"/>
    <w:rsid w:val="00DC309B"/>
    <w:rsid w:val="00DC4DA2"/>
    <w:rsid w:val="00E20C24"/>
    <w:rsid w:val="00E62835"/>
    <w:rsid w:val="00E77645"/>
    <w:rsid w:val="00E83697"/>
    <w:rsid w:val="00E90411"/>
    <w:rsid w:val="00EC4A25"/>
    <w:rsid w:val="00F025A2"/>
    <w:rsid w:val="00F07388"/>
    <w:rsid w:val="00F2026E"/>
    <w:rsid w:val="00F2210A"/>
    <w:rsid w:val="00F37743"/>
    <w:rsid w:val="00F54A3D"/>
    <w:rsid w:val="00F653B8"/>
    <w:rsid w:val="00F71B89"/>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AB3D2C"/>
    <w:pPr>
      <w:spacing w:after="200"/>
    </w:pPr>
    <w:rPr>
      <w:i/>
      <w:iCs/>
      <w:color w:val="44546A" w:themeColor="text2"/>
      <w:sz w:val="18"/>
      <w:szCs w:val="18"/>
    </w:rPr>
  </w:style>
  <w:style w:type="table" w:styleId="TableGrid">
    <w:name w:val="Table Grid"/>
    <w:basedOn w:val="TableNormal"/>
    <w:rsid w:val="00081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CD2CC-E331-4B4C-B254-E1167EF24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3</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5245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Navratil, David (Nokia - FI/Espoo)</dc:creator>
  <cp:lastModifiedBy>Jedrzej</cp:lastModifiedBy>
  <cp:revision>8</cp:revision>
  <dcterms:created xsi:type="dcterms:W3CDTF">2016-09-29T15:38:00Z</dcterms:created>
  <dcterms:modified xsi:type="dcterms:W3CDTF">2016-09-30T14:38:00Z</dcterms:modified>
</cp:coreProperties>
</file>